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17" w:rsidRPr="00290EE7" w:rsidRDefault="00290EE7" w:rsidP="00AB0B17">
      <w:pPr>
        <w:jc w:val="center"/>
        <w:rPr>
          <w:sz w:val="40"/>
          <w:szCs w:val="40"/>
        </w:rPr>
      </w:pPr>
      <w:r>
        <w:rPr>
          <w:sz w:val="40"/>
          <w:szCs w:val="40"/>
        </w:rPr>
        <w:t>JMU School Counseling, Fall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0B17" w:rsidTr="00AB0B17">
        <w:tc>
          <w:tcPr>
            <w:tcW w:w="5508" w:type="dxa"/>
          </w:tcPr>
          <w:p w:rsidR="00AB0B17" w:rsidRDefault="00AB0B17" w:rsidP="00AB0B17">
            <w:pPr>
              <w:rPr>
                <w:sz w:val="24"/>
                <w:szCs w:val="24"/>
              </w:rPr>
            </w:pPr>
            <w:r w:rsidRPr="00290EE7">
              <w:rPr>
                <w:b/>
                <w:sz w:val="24"/>
                <w:szCs w:val="24"/>
              </w:rPr>
              <w:t>Goal:</w:t>
            </w:r>
            <w:r>
              <w:rPr>
                <w:sz w:val="24"/>
                <w:szCs w:val="24"/>
              </w:rPr>
              <w:t xml:space="preserve">  First year school counseling graduate students will acquire knowledge in the key areas of school counseling, including ethics, </w:t>
            </w:r>
            <w:r w:rsidR="00290EE7">
              <w:rPr>
                <w:sz w:val="24"/>
                <w:szCs w:val="24"/>
              </w:rPr>
              <w:t>laws, role and responsibility of the school counselor, community resources, accountability, and measurement and evaluation of counseling programs in the school setting.</w:t>
            </w:r>
          </w:p>
          <w:p w:rsidR="00290EE7" w:rsidRDefault="00290EE7" w:rsidP="00AB0B17">
            <w:pPr>
              <w:rPr>
                <w:sz w:val="24"/>
                <w:szCs w:val="24"/>
              </w:rPr>
            </w:pPr>
          </w:p>
          <w:p w:rsidR="00290EE7" w:rsidRDefault="00290EE7" w:rsidP="00AB0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Objectives: Explain the history and rationale for counseling in schools; describe the unique role of school counselors in the daily activities and crisis situations at the school; describe how to work with unique and diverse student populations; examine legal and ethical issues; demonstrate how to plan, implement, maintain, and evaluate a comprehensive school counseling program; and become members of national and state counseling professional organizations.</w:t>
            </w:r>
          </w:p>
          <w:p w:rsidR="00290EE7" w:rsidRDefault="00290EE7" w:rsidP="00AB0B17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AB0B17" w:rsidRDefault="00290EE7" w:rsidP="00290EE7">
            <w:pPr>
              <w:rPr>
                <w:sz w:val="24"/>
                <w:szCs w:val="24"/>
              </w:rPr>
            </w:pPr>
            <w:r w:rsidRPr="00290EE7">
              <w:rPr>
                <w:b/>
                <w:sz w:val="24"/>
                <w:szCs w:val="24"/>
              </w:rPr>
              <w:t>Results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:rsidR="00290EE7" w:rsidRDefault="00290EE7" w:rsidP="00290E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One-Hundred percent of the students participated in all aspects of the school counseling class requirements.</w:t>
            </w:r>
          </w:p>
          <w:p w:rsidR="00290EE7" w:rsidRDefault="00290EE7" w:rsidP="00290E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conclusion of the semester, school counseling students were knowledgeable in 95% of the categories measured.</w:t>
            </w:r>
          </w:p>
          <w:p w:rsidR="00290EE7" w:rsidRDefault="00290EE7" w:rsidP="00290EE7">
            <w:pPr>
              <w:pStyle w:val="ListParagraph"/>
              <w:rPr>
                <w:sz w:val="24"/>
                <w:szCs w:val="24"/>
              </w:rPr>
            </w:pPr>
          </w:p>
          <w:p w:rsidR="00290EE7" w:rsidRDefault="00290EE7" w:rsidP="00290EE7">
            <w:pPr>
              <w:rPr>
                <w:sz w:val="24"/>
                <w:szCs w:val="24"/>
              </w:rPr>
            </w:pPr>
            <w:r w:rsidRPr="00290EE7">
              <w:rPr>
                <w:b/>
                <w:sz w:val="24"/>
                <w:szCs w:val="24"/>
              </w:rPr>
              <w:t>Impact Statements</w:t>
            </w:r>
            <w:r>
              <w:rPr>
                <w:sz w:val="24"/>
                <w:szCs w:val="24"/>
              </w:rPr>
              <w:t>:</w:t>
            </w:r>
          </w:p>
          <w:p w:rsidR="00290EE7" w:rsidRDefault="00290EE7" w:rsidP="0029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a 14 question self-assessment given at the beginning and end of the semester, all students showed a high level of improvement in the basic core areas of school counseling as specified in the goal and objectives of the class.</w:t>
            </w:r>
          </w:p>
          <w:p w:rsidR="00290EE7" w:rsidRPr="00290EE7" w:rsidRDefault="00290EE7" w:rsidP="00290EE7">
            <w:pPr>
              <w:rPr>
                <w:sz w:val="24"/>
                <w:szCs w:val="24"/>
              </w:rPr>
            </w:pPr>
          </w:p>
        </w:tc>
      </w:tr>
      <w:tr w:rsidR="00290EE7" w:rsidTr="00F05124">
        <w:tc>
          <w:tcPr>
            <w:tcW w:w="11016" w:type="dxa"/>
            <w:gridSpan w:val="2"/>
          </w:tcPr>
          <w:p w:rsidR="00290EE7" w:rsidRDefault="00F05124" w:rsidP="00AB0B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EE60EE" wp14:editId="335958A0">
                  <wp:extent cx="6372225" cy="2743200"/>
                  <wp:effectExtent l="0" t="0" r="9525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3365EC" w:rsidTr="002A0FF3">
        <w:tc>
          <w:tcPr>
            <w:tcW w:w="11016" w:type="dxa"/>
            <w:gridSpan w:val="2"/>
          </w:tcPr>
          <w:p w:rsidR="003365EC" w:rsidRDefault="00722498" w:rsidP="007224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Implications:</w:t>
            </w:r>
          </w:p>
          <w:p w:rsidR="00722498" w:rsidRDefault="00722498" w:rsidP="007224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were knowledgeable in 13 of the 14 key areas tested on the self-assessment compared to just two students on two of the key areas on the pre-test self-assessment.</w:t>
            </w:r>
          </w:p>
          <w:p w:rsidR="00722498" w:rsidRDefault="00722498" w:rsidP="007224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discussed after the post-test self-assessment was complete, all students were given the materials to conduct a school counseling program audit but only two of the six students were aware of this, evidently because the materials were presented within a larger handbook.</w:t>
            </w:r>
          </w:p>
          <w:p w:rsidR="00722498" w:rsidRPr="00722498" w:rsidRDefault="00722498" w:rsidP="007224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students will review resources available before starting practicum and internship placements and future students will be reminded of all the resources available in the VSCA Professional Program Manual.</w:t>
            </w:r>
            <w:bookmarkStart w:id="0" w:name="_GoBack"/>
            <w:bookmarkEnd w:id="0"/>
          </w:p>
        </w:tc>
      </w:tr>
    </w:tbl>
    <w:p w:rsidR="00AB0B17" w:rsidRPr="00AB0B17" w:rsidRDefault="00AB0B17" w:rsidP="00AB0B17">
      <w:pPr>
        <w:jc w:val="center"/>
        <w:rPr>
          <w:sz w:val="24"/>
          <w:szCs w:val="24"/>
        </w:rPr>
      </w:pPr>
    </w:p>
    <w:sectPr w:rsidR="00AB0B17" w:rsidRPr="00AB0B17" w:rsidSect="00AB0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EFD"/>
    <w:multiLevelType w:val="hybridMultilevel"/>
    <w:tmpl w:val="D47AD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B12"/>
    <w:multiLevelType w:val="hybridMultilevel"/>
    <w:tmpl w:val="19289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514D"/>
    <w:multiLevelType w:val="hybridMultilevel"/>
    <w:tmpl w:val="98509B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C74002"/>
    <w:multiLevelType w:val="hybridMultilevel"/>
    <w:tmpl w:val="B37E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7"/>
    <w:rsid w:val="00290EE7"/>
    <w:rsid w:val="003365EC"/>
    <w:rsid w:val="005006B6"/>
    <w:rsid w:val="00722498"/>
    <w:rsid w:val="00AB0B17"/>
    <w:rsid w:val="00F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School Counseling Self-Assessment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Pre-Test Positive Answers</c:v>
                </c:pt>
              </c:strCache>
            </c:strRef>
          </c:tx>
          <c:invertIfNegative val="0"/>
          <c:val>
            <c:numRef>
              <c:f>Sheet1!$B$3:$O$3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Post-Test Positive Answers</c:v>
                </c:pt>
              </c:strCache>
            </c:strRef>
          </c:tx>
          <c:invertIfNegative val="0"/>
          <c:val>
            <c:numRef>
              <c:f>Sheet1!$B$4:$O$4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43104"/>
        <c:axId val="83745024"/>
      </c:barChart>
      <c:catAx>
        <c:axId val="8374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Question Number</a:t>
                </a:r>
              </a:p>
            </c:rich>
          </c:tx>
          <c:overlay val="0"/>
        </c:title>
        <c:majorTickMark val="none"/>
        <c:minorTickMark val="none"/>
        <c:tickLblPos val="nextTo"/>
        <c:crossAx val="83745024"/>
        <c:crosses val="autoZero"/>
        <c:auto val="1"/>
        <c:lblAlgn val="ctr"/>
        <c:lblOffset val="100"/>
        <c:noMultiLvlLbl val="0"/>
      </c:catAx>
      <c:valAx>
        <c:axId val="83745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Positive Answers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199307378244386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374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Maschew</dc:creator>
  <cp:lastModifiedBy>Maschew</cp:lastModifiedBy>
  <cp:revision>3</cp:revision>
  <dcterms:created xsi:type="dcterms:W3CDTF">2011-12-01T17:28:00Z</dcterms:created>
  <dcterms:modified xsi:type="dcterms:W3CDTF">2011-12-01T18:04:00Z</dcterms:modified>
</cp:coreProperties>
</file>